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New York Real Estate Standard Operating Procedures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1" w:lineRule="auto"/>
        <w:ind w:left="0" w:right="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Pursuant to New York State law, </w:t>
      </w:r>
      <w:r w:rsidDel="00000000" w:rsidR="00000000" w:rsidRPr="00000000">
        <w:rPr>
          <w:sz w:val="24"/>
          <w:szCs w:val="24"/>
          <w:rtl w:val="0"/>
        </w:rPr>
        <w:t xml:space="preserve">Tri State Commercial Realty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required to publish its Standard Operating Procedures that detail prerequisites that all prospective homebuyers (“Prospective Buyers”) must meet before they receive services from a New York </w:t>
      </w:r>
      <w:r w:rsidDel="00000000" w:rsidR="00000000" w:rsidRPr="00000000">
        <w:rPr>
          <w:sz w:val="24"/>
          <w:szCs w:val="24"/>
          <w:rtl w:val="0"/>
        </w:rPr>
        <w:t xml:space="preserve">Tri State Commercial Realty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agent.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0" w:right="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0" w:right="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Tri State Commercial Realty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agents must implement these pre-services procedures uniformly with respect to any Prospective Buyer.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0" w:line="271" w:lineRule="auto"/>
        <w:ind w:left="945" w:right="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Prospective Buyer Identification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Tri State Commercial Realty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does not require Prospective Buyers to provide identification to work with a </w:t>
      </w:r>
      <w:r w:rsidDel="00000000" w:rsidR="00000000" w:rsidRPr="00000000">
        <w:rPr>
          <w:sz w:val="24"/>
          <w:szCs w:val="24"/>
          <w:rtl w:val="0"/>
        </w:rPr>
        <w:t xml:space="preserve">Tri State Commercial Realty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agent. However, Prospective Buyers may be required to show proof of identification to (i) enter certain </w:t>
      </w:r>
      <w:r w:rsidDel="00000000" w:rsidR="00000000" w:rsidRPr="00000000">
        <w:rPr>
          <w:sz w:val="24"/>
          <w:szCs w:val="24"/>
          <w:rtl w:val="0"/>
        </w:rPr>
        <w:t xml:space="preserve">Tri State Commercial Realty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offices if required by the building’s security, (ii) attend an open house or showing at the direction of a homeowner or listing agent, or (iii) in any other circumstance as directed by a third party, including but not limited to, a seller or listing agent.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253" w:line="271" w:lineRule="auto"/>
        <w:ind w:left="94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Buyer Representation Agreement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Tri State Commercial Realty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does not require Prospective Buyers to sign a buyer representation agreement before engaging with a </w:t>
      </w:r>
      <w:r w:rsidDel="00000000" w:rsidR="00000000" w:rsidRPr="00000000">
        <w:rPr>
          <w:sz w:val="24"/>
          <w:szCs w:val="24"/>
          <w:rtl w:val="0"/>
        </w:rPr>
        <w:t xml:space="preserve">Tri State Commercial Realty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agent, however, before going on a tour of a property with a </w:t>
      </w:r>
      <w:r w:rsidDel="00000000" w:rsidR="00000000" w:rsidRPr="00000000">
        <w:rPr>
          <w:sz w:val="24"/>
          <w:szCs w:val="24"/>
          <w:rtl w:val="0"/>
        </w:rPr>
        <w:t xml:space="preserve">Tri State Commercial Realty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agent, a prospective buyer must sign an exclusive or non-exclusive buyer representation agreement.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"/>
        </w:tabs>
        <w:spacing w:after="0" w:before="256" w:line="271" w:lineRule="auto"/>
        <w:ind w:left="945" w:right="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Prospective Buyer Evidence of Pre-Approval. </w:t>
      </w:r>
      <w:r w:rsidDel="00000000" w:rsidR="00000000" w:rsidRPr="00000000">
        <w:rPr>
          <w:sz w:val="24"/>
          <w:szCs w:val="24"/>
          <w:rtl w:val="0"/>
        </w:rPr>
        <w:t xml:space="preserve">Tri State Commercial Realty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does not require Prospective Buyers to provide confirmation of a loan or mortgage pre-approval to work with a </w:t>
      </w:r>
      <w:r w:rsidDel="00000000" w:rsidR="00000000" w:rsidRPr="00000000">
        <w:rPr>
          <w:sz w:val="24"/>
          <w:szCs w:val="24"/>
          <w:rtl w:val="0"/>
        </w:rPr>
        <w:t xml:space="preserve">Tri State Commercial Realty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agent; however, a third party, including a seller or listing agent, may require proof of pre-approval, including but not limited to, prior to attending a showing or open house or receiving an offer from the Prospective Buyer.</w:t>
      </w:r>
    </w:p>
    <w:sectPr>
      <w:headerReference r:id="rId7" w:type="default"/>
      <w:footerReference r:id="rId8" w:type="default"/>
      <w:pgSz w:h="15840" w:w="12240" w:orient="portrait"/>
      <w:pgMar w:bottom="920" w:top="780" w:left="1440" w:right="1440" w:header="0" w:footer="7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9448800</wp:posOffset>
              </wp:positionV>
              <wp:extent cx="1053465" cy="149225"/>
              <wp:effectExtent b="0" l="0" r="0" t="0"/>
              <wp:wrapNone/>
              <wp:docPr id="147022589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24030" y="3710150"/>
                        <a:ext cx="1043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00000011920929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Effective August 17, 2024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9448800</wp:posOffset>
              </wp:positionV>
              <wp:extent cx="1053465" cy="149225"/>
              <wp:effectExtent b="0" l="0" r="0" t="0"/>
              <wp:wrapNone/>
              <wp:docPr id="147022589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346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33550" cy="561975"/>
          <wp:effectExtent b="0" l="0" r="0" t="0"/>
          <wp:docPr id="14702258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458" l="-15873" r="-15873" t="-11458"/>
                  <a:stretch>
                    <a:fillRect/>
                  </a:stretch>
                </pic:blipFill>
                <pic:spPr>
                  <a:xfrm>
                    <a:off x="0" y="0"/>
                    <a:ext cx="173355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945" w:hanging="360"/>
      </w:pPr>
      <w:rPr>
        <w:rFonts w:ascii="Helvetica Neue" w:cs="Helvetica Neue" w:eastAsia="Helvetica Neue" w:hAnsi="Helvetica Neue"/>
        <w:b w:val="0"/>
        <w:i w:val="0"/>
        <w:color w:val="212121"/>
        <w:sz w:val="24"/>
        <w:szCs w:val="24"/>
      </w:rPr>
    </w:lvl>
    <w:lvl w:ilvl="1">
      <w:start w:val="0"/>
      <w:numFmt w:val="bullet"/>
      <w:lvlText w:val="•"/>
      <w:lvlJc w:val="left"/>
      <w:pPr>
        <w:ind w:left="1782" w:hanging="360"/>
      </w:pPr>
      <w:rPr/>
    </w:lvl>
    <w:lvl w:ilvl="2">
      <w:start w:val="0"/>
      <w:numFmt w:val="bullet"/>
      <w:lvlText w:val="•"/>
      <w:lvlJc w:val="left"/>
      <w:pPr>
        <w:ind w:left="2624" w:hanging="360"/>
      </w:pPr>
      <w:rPr/>
    </w:lvl>
    <w:lvl w:ilvl="3">
      <w:start w:val="0"/>
      <w:numFmt w:val="bullet"/>
      <w:lvlText w:val="•"/>
      <w:lvlJc w:val="left"/>
      <w:pPr>
        <w:ind w:left="3466" w:hanging="360"/>
      </w:pPr>
      <w:rPr/>
    </w:lvl>
    <w:lvl w:ilvl="4">
      <w:start w:val="0"/>
      <w:numFmt w:val="bullet"/>
      <w:lvlText w:val="•"/>
      <w:lvlJc w:val="left"/>
      <w:pPr>
        <w:ind w:left="4308" w:hanging="360"/>
      </w:pPr>
      <w:rPr/>
    </w:lvl>
    <w:lvl w:ilvl="5">
      <w:start w:val="0"/>
      <w:numFmt w:val="bullet"/>
      <w:lvlText w:val="•"/>
      <w:lvlJc w:val="left"/>
      <w:pPr>
        <w:ind w:left="5150" w:hanging="360"/>
      </w:pPr>
      <w:rPr/>
    </w:lvl>
    <w:lvl w:ilvl="6">
      <w:start w:val="0"/>
      <w:numFmt w:val="bullet"/>
      <w:lvlText w:val="•"/>
      <w:lvlJc w:val="left"/>
      <w:pPr>
        <w:ind w:left="5992" w:hanging="360"/>
      </w:pPr>
      <w:rPr/>
    </w:lvl>
    <w:lvl w:ilvl="7">
      <w:start w:val="0"/>
      <w:numFmt w:val="bullet"/>
      <w:lvlText w:val="•"/>
      <w:lvlJc w:val="left"/>
      <w:pPr>
        <w:ind w:left="6834" w:hanging="360"/>
      </w:pPr>
      <w:rPr/>
    </w:lvl>
    <w:lvl w:ilvl="8">
      <w:start w:val="0"/>
      <w:numFmt w:val="bullet"/>
      <w:lvlText w:val="•"/>
      <w:lvlJc w:val="left"/>
      <w:pPr>
        <w:ind w:left="767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jc w:val="center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ind w:left="945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99675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9675F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99675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9675F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1xX4xk2nNje5ph7RuSJ7NktvA==">CgMxLjA4AHIhMW1COVdteVFidks1bkRLeUFOaTMzY25QMWhDUl94NG8x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2025-03-25T15:43:00Z</dcterms:created>
  <dc:creator>Jeff Geoghegan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Producer">
    <vt:lpwstr>Skia/PDF m130 Google Docs Renderer</vt:lpwstr>
  </property>
  <property fmtid="{D5CDD505-2E9C-101B-9397-08002B2CF9AE}" pid="4" name="LastSaved">
    <vt:filetime>2025-03-25T00:00:00Z</vt:filetime>
  </property>
</Properties>
</file>