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163A8" w14:textId="77777777" w:rsidR="00C32D75" w:rsidRDefault="00C32D75">
      <w:pPr>
        <w:pBdr>
          <w:top w:val="nil"/>
          <w:left w:val="nil"/>
          <w:bottom w:val="nil"/>
          <w:right w:val="nil"/>
          <w:between w:val="nil"/>
        </w:pBdr>
        <w:ind w:left="1094"/>
        <w:rPr>
          <w:color w:val="000000"/>
          <w:sz w:val="20"/>
          <w:szCs w:val="20"/>
        </w:rPr>
      </w:pPr>
    </w:p>
    <w:p w14:paraId="0138F196" w14:textId="77777777" w:rsidR="00C32D75" w:rsidRDefault="00C32D75">
      <w:pPr>
        <w:pBdr>
          <w:top w:val="nil"/>
          <w:left w:val="nil"/>
          <w:bottom w:val="nil"/>
          <w:right w:val="nil"/>
          <w:between w:val="nil"/>
        </w:pBdr>
        <w:spacing w:before="104"/>
        <w:rPr>
          <w:color w:val="000000"/>
          <w:sz w:val="24"/>
          <w:szCs w:val="24"/>
        </w:rPr>
      </w:pPr>
    </w:p>
    <w:p w14:paraId="0098BAE6" w14:textId="77777777" w:rsidR="00C32D75" w:rsidRDefault="00000000">
      <w:pPr>
        <w:pStyle w:val="Title"/>
      </w:pPr>
      <w:r>
        <w:t>New York Real Estate Standard Operating Procedures</w:t>
      </w:r>
    </w:p>
    <w:p w14:paraId="7E46ADE5" w14:textId="77777777" w:rsidR="00C32D75" w:rsidRDefault="00C32D75">
      <w:pPr>
        <w:pBdr>
          <w:top w:val="nil"/>
          <w:left w:val="nil"/>
          <w:bottom w:val="nil"/>
          <w:right w:val="nil"/>
          <w:between w:val="nil"/>
        </w:pBdr>
        <w:spacing w:before="68"/>
        <w:rPr>
          <w:b/>
          <w:color w:val="000000"/>
          <w:sz w:val="24"/>
          <w:szCs w:val="24"/>
        </w:rPr>
      </w:pPr>
    </w:p>
    <w:p w14:paraId="788A1333" w14:textId="214ACD15" w:rsidR="00C32D75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271" w:lineRule="auto"/>
        <w:ind w:right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Pursuant to New York State law, </w:t>
      </w:r>
      <w:r w:rsidR="009E4172">
        <w:rPr>
          <w:sz w:val="24"/>
          <w:szCs w:val="24"/>
        </w:rPr>
        <w:t>Tri State Commercial® Realty</w:t>
      </w:r>
      <w:r>
        <w:rPr>
          <w:color w:val="000000"/>
          <w:sz w:val="24"/>
          <w:szCs w:val="24"/>
        </w:rPr>
        <w:t xml:space="preserve"> is required to publish its Standard Operating Procedures that detail prerequisites that all prospective homebuyers (“Prospective Buyers”) must meet before they receive services from a New York </w:t>
      </w:r>
      <w:r w:rsidR="009E4172">
        <w:rPr>
          <w:sz w:val="24"/>
          <w:szCs w:val="24"/>
        </w:rPr>
        <w:t>Tri State Commercial® Realty</w:t>
      </w:r>
      <w:r>
        <w:rPr>
          <w:color w:val="000000"/>
          <w:sz w:val="24"/>
          <w:szCs w:val="24"/>
        </w:rPr>
        <w:t xml:space="preserve"> agent.</w:t>
      </w:r>
    </w:p>
    <w:p w14:paraId="640F777F" w14:textId="77777777" w:rsidR="00C32D75" w:rsidRDefault="00C32D75">
      <w:pPr>
        <w:pBdr>
          <w:top w:val="nil"/>
          <w:left w:val="nil"/>
          <w:bottom w:val="nil"/>
          <w:right w:val="nil"/>
          <w:between w:val="nil"/>
        </w:pBdr>
        <w:spacing w:before="30"/>
        <w:rPr>
          <w:color w:val="000000"/>
          <w:sz w:val="24"/>
          <w:szCs w:val="24"/>
        </w:rPr>
      </w:pPr>
    </w:p>
    <w:p w14:paraId="40683999" w14:textId="77777777" w:rsidR="00C32D75" w:rsidRDefault="00C32D75">
      <w:pPr>
        <w:pBdr>
          <w:top w:val="nil"/>
          <w:left w:val="nil"/>
          <w:bottom w:val="nil"/>
          <w:right w:val="nil"/>
          <w:between w:val="nil"/>
        </w:pBdr>
        <w:spacing w:line="271" w:lineRule="auto"/>
        <w:ind w:right="9"/>
        <w:jc w:val="both"/>
        <w:rPr>
          <w:color w:val="000000"/>
          <w:sz w:val="24"/>
          <w:szCs w:val="24"/>
        </w:rPr>
      </w:pPr>
    </w:p>
    <w:p w14:paraId="79768316" w14:textId="1A0B6842" w:rsidR="00C32D75" w:rsidRDefault="009E4172">
      <w:pPr>
        <w:pBdr>
          <w:top w:val="nil"/>
          <w:left w:val="nil"/>
          <w:bottom w:val="nil"/>
          <w:right w:val="nil"/>
          <w:between w:val="nil"/>
        </w:pBdr>
        <w:spacing w:line="271" w:lineRule="auto"/>
        <w:ind w:right="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Tri State Commercial® Realty</w:t>
      </w:r>
      <w:r w:rsidR="00000000">
        <w:rPr>
          <w:color w:val="000000"/>
          <w:sz w:val="24"/>
          <w:szCs w:val="24"/>
        </w:rPr>
        <w:t xml:space="preserve"> agents must implement these pre-services procedures uniformly with respect to any Prospective Buyer.</w:t>
      </w:r>
    </w:p>
    <w:p w14:paraId="528FE165" w14:textId="77777777" w:rsidR="00C32D75" w:rsidRDefault="00C32D75">
      <w:pPr>
        <w:pBdr>
          <w:top w:val="nil"/>
          <w:left w:val="nil"/>
          <w:bottom w:val="nil"/>
          <w:right w:val="nil"/>
          <w:between w:val="nil"/>
        </w:pBdr>
        <w:spacing w:before="250"/>
        <w:rPr>
          <w:color w:val="000000"/>
          <w:sz w:val="24"/>
          <w:szCs w:val="24"/>
        </w:rPr>
      </w:pPr>
    </w:p>
    <w:p w14:paraId="74C6CA03" w14:textId="66613114" w:rsidR="00C32D7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45"/>
        </w:tabs>
        <w:spacing w:line="271" w:lineRule="auto"/>
        <w:ind w:right="5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Prospective Buyer Identification</w:t>
      </w:r>
      <w:r>
        <w:rPr>
          <w:color w:val="000000"/>
          <w:sz w:val="24"/>
          <w:szCs w:val="24"/>
        </w:rPr>
        <w:t xml:space="preserve">. </w:t>
      </w:r>
      <w:r w:rsidR="009E4172">
        <w:rPr>
          <w:sz w:val="24"/>
          <w:szCs w:val="24"/>
        </w:rPr>
        <w:t>Tri State Commercial® Realty</w:t>
      </w:r>
      <w:r>
        <w:rPr>
          <w:color w:val="000000"/>
          <w:sz w:val="24"/>
          <w:szCs w:val="24"/>
        </w:rPr>
        <w:t xml:space="preserve"> does not require Prospective Buyers to provide identification to work with a </w:t>
      </w:r>
      <w:r w:rsidR="009E4172">
        <w:rPr>
          <w:sz w:val="24"/>
          <w:szCs w:val="24"/>
        </w:rPr>
        <w:t>Tri State Commercial® Realty</w:t>
      </w:r>
      <w:r>
        <w:rPr>
          <w:color w:val="000000"/>
          <w:sz w:val="24"/>
          <w:szCs w:val="24"/>
        </w:rPr>
        <w:t xml:space="preserve"> agent. However, Prospective Buyers may be required to show proof of identification to (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) enter certain </w:t>
      </w:r>
      <w:r w:rsidR="009E4172">
        <w:rPr>
          <w:sz w:val="24"/>
          <w:szCs w:val="24"/>
        </w:rPr>
        <w:t>Tri State Commercial® Realty</w:t>
      </w:r>
      <w:r>
        <w:rPr>
          <w:color w:val="000000"/>
          <w:sz w:val="24"/>
          <w:szCs w:val="24"/>
        </w:rPr>
        <w:t xml:space="preserve"> offices if required by the building’s security, (ii) attend an open house or showing at the direction of a homeowner or listing agent, or (iii) in any other circumstance as directed by a third party, including but not limited to, a seller or listing agent.</w:t>
      </w:r>
    </w:p>
    <w:p w14:paraId="0940CBA1" w14:textId="57B0E405" w:rsidR="00C32D7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45"/>
        </w:tabs>
        <w:spacing w:before="253" w:line="271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Buyer Representation Agreement</w:t>
      </w:r>
      <w:r>
        <w:rPr>
          <w:color w:val="000000"/>
          <w:sz w:val="24"/>
          <w:szCs w:val="24"/>
        </w:rPr>
        <w:t xml:space="preserve">. </w:t>
      </w:r>
      <w:r w:rsidR="009E4172">
        <w:rPr>
          <w:sz w:val="24"/>
          <w:szCs w:val="24"/>
        </w:rPr>
        <w:t>Tri State Commercial® Realty</w:t>
      </w:r>
      <w:r>
        <w:rPr>
          <w:color w:val="000000"/>
          <w:sz w:val="24"/>
          <w:szCs w:val="24"/>
        </w:rPr>
        <w:t xml:space="preserve"> does not require Prospective Buyers to sign a buyer representation agreement before engaging with a </w:t>
      </w:r>
      <w:r w:rsidR="009E4172">
        <w:rPr>
          <w:sz w:val="24"/>
          <w:szCs w:val="24"/>
        </w:rPr>
        <w:t>Tri State Commercial® Realty</w:t>
      </w:r>
      <w:r>
        <w:rPr>
          <w:color w:val="000000"/>
          <w:sz w:val="24"/>
          <w:szCs w:val="24"/>
        </w:rPr>
        <w:t xml:space="preserve"> agent, however, before going on a tour of a property with a </w:t>
      </w:r>
      <w:r w:rsidR="009E4172">
        <w:rPr>
          <w:sz w:val="24"/>
          <w:szCs w:val="24"/>
        </w:rPr>
        <w:t>Tri State Commercial® Realty</w:t>
      </w:r>
      <w:r>
        <w:rPr>
          <w:color w:val="000000"/>
          <w:sz w:val="24"/>
          <w:szCs w:val="24"/>
        </w:rPr>
        <w:t xml:space="preserve"> agent, a prospective buyer must sign an exclusive or non-exclusive buyer representation agreement.</w:t>
      </w:r>
    </w:p>
    <w:p w14:paraId="15D0A0C1" w14:textId="6A36D972" w:rsidR="00C32D7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45"/>
        </w:tabs>
        <w:spacing w:before="256" w:line="271" w:lineRule="auto"/>
        <w:ind w:right="1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Prospective Buyer Evidence of Pre-Approval. </w:t>
      </w:r>
      <w:r w:rsidR="009E4172">
        <w:rPr>
          <w:sz w:val="24"/>
          <w:szCs w:val="24"/>
        </w:rPr>
        <w:t>Tri State Commercial® Realty</w:t>
      </w:r>
      <w:r>
        <w:rPr>
          <w:color w:val="000000"/>
          <w:sz w:val="24"/>
          <w:szCs w:val="24"/>
        </w:rPr>
        <w:t xml:space="preserve"> does not require Prospective Buyers to provide confirmation of a loan or mortgage pre-approval to work with a </w:t>
      </w:r>
      <w:r w:rsidR="009E4172">
        <w:rPr>
          <w:sz w:val="24"/>
          <w:szCs w:val="24"/>
        </w:rPr>
        <w:t>Tri State Commercial® Realty</w:t>
      </w:r>
      <w:r>
        <w:rPr>
          <w:color w:val="000000"/>
          <w:sz w:val="24"/>
          <w:szCs w:val="24"/>
        </w:rPr>
        <w:t xml:space="preserve"> agent; however, a third party, including a seller or listing agent, may require proof of pre-approval, including but not limited to, prior to attending a showing or open house or receiving an offer from the Prospective Buyer.</w:t>
      </w:r>
    </w:p>
    <w:sectPr w:rsidR="00C32D75">
      <w:headerReference w:type="default" r:id="rId8"/>
      <w:footerReference w:type="default" r:id="rId9"/>
      <w:pgSz w:w="12240" w:h="15840"/>
      <w:pgMar w:top="780" w:right="1440" w:bottom="920" w:left="1440" w:header="0" w:footer="7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8B6DAB" w14:textId="77777777" w:rsidR="002C22D8" w:rsidRDefault="002C22D8">
      <w:r>
        <w:separator/>
      </w:r>
    </w:p>
  </w:endnote>
  <w:endnote w:type="continuationSeparator" w:id="0">
    <w:p w14:paraId="51C1E31C" w14:textId="77777777" w:rsidR="002C22D8" w:rsidRDefault="002C2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charset w:val="00"/>
    <w:family w:val="auto"/>
    <w:pitch w:val="default"/>
    <w:embedRegular r:id="rId1" w:fontKey="{75783D28-287D-44B5-AABC-84DA3CBFF1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48713618-7F93-4A76-87FC-AF361D747397}"/>
    <w:embedItalic r:id="rId3" w:fontKey="{41B9F60D-1965-4F7A-9626-B7378EDCB2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FD4F8CF-ADCD-405C-999C-635B5153278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0963BDF-3C4B-4F63-A368-F8CBC0AF5F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D89D6" w14:textId="77777777" w:rsidR="00C32D75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B9B3A69" wp14:editId="3D1CCECC">
              <wp:simplePos x="0" y="0"/>
              <wp:positionH relativeFrom="column">
                <wp:posOffset>-12699</wp:posOffset>
              </wp:positionH>
              <wp:positionV relativeFrom="paragraph">
                <wp:posOffset>9448800</wp:posOffset>
              </wp:positionV>
              <wp:extent cx="1053465" cy="149225"/>
              <wp:effectExtent l="0" t="0" r="0" b="0"/>
              <wp:wrapNone/>
              <wp:docPr id="1470225891" name="Rectangle 14702258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24030" y="3710150"/>
                        <a:ext cx="104394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363D4E" w14:textId="77777777" w:rsidR="00C32D75" w:rsidRDefault="00000000">
                          <w:pPr>
                            <w:spacing w:before="8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Effective August 17, 2024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B9B3A69" id="Rectangle 1470225891" o:spid="_x0000_s1026" style="position:absolute;margin-left:-1pt;margin-top:744pt;width:82.95pt;height:11.7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" filled="f" stroked="f">
              <v:textbox inset="0,0,0,0">
                <w:txbxContent>
                  <w:p w14:paraId="15363D4E" w14:textId="77777777" w:rsidR="00C32D75" w:rsidRDefault="00000000">
                    <w:pPr>
                      <w:spacing w:before="8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Effective August 17, 2024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485AFF" w14:textId="77777777" w:rsidR="002C22D8" w:rsidRDefault="002C22D8">
      <w:r>
        <w:separator/>
      </w:r>
    </w:p>
  </w:footnote>
  <w:footnote w:type="continuationSeparator" w:id="0">
    <w:p w14:paraId="26B97822" w14:textId="77777777" w:rsidR="002C22D8" w:rsidRDefault="002C22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61718" w14:textId="77777777" w:rsidR="00C32D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F833596" wp14:editId="57AB8F09">
          <wp:extent cx="1733550" cy="561975"/>
          <wp:effectExtent l="0" t="0" r="0" b="0"/>
          <wp:docPr id="147022589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5873" t="-11458" r="-15873" b="-11458"/>
                  <a:stretch>
                    <a:fillRect/>
                  </a:stretch>
                </pic:blipFill>
                <pic:spPr>
                  <a:xfrm>
                    <a:off x="0" y="0"/>
                    <a:ext cx="1733550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AE3BB1"/>
    <w:multiLevelType w:val="multilevel"/>
    <w:tmpl w:val="76200FD6"/>
    <w:lvl w:ilvl="0">
      <w:numFmt w:val="bullet"/>
      <w:lvlText w:val="●"/>
      <w:lvlJc w:val="left"/>
      <w:pPr>
        <w:ind w:left="945" w:hanging="360"/>
      </w:pPr>
      <w:rPr>
        <w:rFonts w:ascii="Helvetica Neue" w:eastAsia="Helvetica Neue" w:hAnsi="Helvetica Neue" w:cs="Helvetica Neue"/>
        <w:b w:val="0"/>
        <w:i w:val="0"/>
        <w:color w:val="212121"/>
        <w:sz w:val="24"/>
        <w:szCs w:val="24"/>
      </w:rPr>
    </w:lvl>
    <w:lvl w:ilvl="1">
      <w:numFmt w:val="bullet"/>
      <w:lvlText w:val="•"/>
      <w:lvlJc w:val="left"/>
      <w:pPr>
        <w:ind w:left="1782" w:hanging="360"/>
      </w:pPr>
    </w:lvl>
    <w:lvl w:ilvl="2">
      <w:numFmt w:val="bullet"/>
      <w:lvlText w:val="•"/>
      <w:lvlJc w:val="left"/>
      <w:pPr>
        <w:ind w:left="2624" w:hanging="360"/>
      </w:pPr>
    </w:lvl>
    <w:lvl w:ilvl="3">
      <w:numFmt w:val="bullet"/>
      <w:lvlText w:val="•"/>
      <w:lvlJc w:val="left"/>
      <w:pPr>
        <w:ind w:left="3466" w:hanging="360"/>
      </w:pPr>
    </w:lvl>
    <w:lvl w:ilvl="4">
      <w:numFmt w:val="bullet"/>
      <w:lvlText w:val="•"/>
      <w:lvlJc w:val="left"/>
      <w:pPr>
        <w:ind w:left="4308" w:hanging="360"/>
      </w:pPr>
    </w:lvl>
    <w:lvl w:ilvl="5">
      <w:numFmt w:val="bullet"/>
      <w:lvlText w:val="•"/>
      <w:lvlJc w:val="left"/>
      <w:pPr>
        <w:ind w:left="5150" w:hanging="360"/>
      </w:pPr>
    </w:lvl>
    <w:lvl w:ilvl="6">
      <w:numFmt w:val="bullet"/>
      <w:lvlText w:val="•"/>
      <w:lvlJc w:val="left"/>
      <w:pPr>
        <w:ind w:left="5992" w:hanging="360"/>
      </w:pPr>
    </w:lvl>
    <w:lvl w:ilvl="7">
      <w:numFmt w:val="bullet"/>
      <w:lvlText w:val="•"/>
      <w:lvlJc w:val="left"/>
      <w:pPr>
        <w:ind w:left="6834" w:hanging="360"/>
      </w:pPr>
    </w:lvl>
    <w:lvl w:ilvl="8">
      <w:numFmt w:val="bullet"/>
      <w:lvlText w:val="•"/>
      <w:lvlJc w:val="left"/>
      <w:pPr>
        <w:ind w:left="7676" w:hanging="360"/>
      </w:pPr>
    </w:lvl>
  </w:abstractNum>
  <w:num w:numId="1" w16cid:durableId="1056389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D75"/>
    <w:rsid w:val="002C22D8"/>
    <w:rsid w:val="009E4172"/>
    <w:rsid w:val="00C32D75"/>
    <w:rsid w:val="00D96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4C235"/>
  <w15:docId w15:val="{C32F20E4-8729-4CDF-8323-E8166A12D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1"/>
      <w:jc w:val="center"/>
    </w:pPr>
    <w:rPr>
      <w:b/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4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967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675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967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675F"/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p1xX4xk2nNje5ph7RuSJ7NktvA==">CgMxLjA4AHIhMW1COVdteVFidks1bkRLeUFOaTMzY25QMWhDUl94NG8x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276</Words>
  <Characters>1576</Characters>
  <Application>Microsoft Office Word</Application>
  <DocSecurity>0</DocSecurity>
  <Lines>13</Lines>
  <Paragraphs>3</Paragraphs>
  <ScaleCrop>false</ScaleCrop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Geoghegan</dc:creator>
  <cp:lastModifiedBy>Filip Stojanovic</cp:lastModifiedBy>
  <cp:revision>3</cp:revision>
  <dcterms:created xsi:type="dcterms:W3CDTF">2025-03-25T15:43:00Z</dcterms:created>
  <dcterms:modified xsi:type="dcterms:W3CDTF">2025-07-01T09:04:00Z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2025-03-25T00:00:00Z</vt:filetime>
  </property>
  <property fmtid="{D5CDD505-2E9C-101B-9397-08002B2CF9AE}" pid="3" name="Producer">
    <vt:lpwstr>Skia/PDF m130 Google Docs Renderer</vt:lpwstr>
  </property>
  <property fmtid="{D5CDD505-2E9C-101B-9397-08002B2CF9AE}" pid="4" name="LastSaved">
    <vt:filetime>2025-03-25T00:00:00Z</vt:filetime>
  </property>
</Properties>
</file>